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F1" w:rsidRPr="003E1C2E" w:rsidRDefault="008F46F1" w:rsidP="008F46F1">
      <w:pPr>
        <w:pStyle w:val="2"/>
        <w:pageBreakBefore/>
        <w:spacing w:before="468" w:after="468"/>
        <w:rPr>
          <w:rFonts w:hint="eastAsia"/>
        </w:rPr>
      </w:pPr>
      <w:bookmarkStart w:id="0" w:name="_Toc523837764"/>
      <w:r w:rsidRPr="003E1C2E">
        <w:rPr>
          <w:rFonts w:hint="eastAsia"/>
        </w:rPr>
        <w:t xml:space="preserve">6.3  </w:t>
      </w:r>
      <w:r w:rsidRPr="003E1C2E">
        <w:rPr>
          <w:rFonts w:hint="eastAsia"/>
        </w:rPr>
        <w:t>学生实习费</w:t>
      </w:r>
      <w:bookmarkEnd w:id="0"/>
    </w:p>
    <w:p w:rsidR="00CC449F" w:rsidRPr="003E1C2E" w:rsidRDefault="004E633E" w:rsidP="00CC449F">
      <w:pPr>
        <w:pStyle w:val="a6"/>
        <w:spacing w:before="156"/>
        <w:rPr>
          <w:rFonts w:hint="eastAsia"/>
        </w:rPr>
      </w:pPr>
      <w:r w:rsidRPr="004E633E">
        <w:rPr>
          <w:rFonts w:hint="eastAsia"/>
        </w:rPr>
        <w:t>学生实习费</w:t>
      </w:r>
      <w:r>
        <w:rPr>
          <w:rFonts w:hint="eastAsia"/>
        </w:rPr>
        <w:t>报销</w:t>
      </w:r>
      <w:bookmarkStart w:id="1" w:name="_GoBack"/>
      <w:bookmarkEnd w:id="1"/>
      <w:r w:rsidR="00CC449F" w:rsidRPr="003E1C2E">
        <w:rPr>
          <w:rFonts w:hint="eastAsia"/>
        </w:rPr>
        <w:t>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180"/>
        <w:gridCol w:w="2179"/>
        <w:gridCol w:w="3160"/>
      </w:tblGrid>
      <w:tr w:rsidR="00CC449F" w:rsidRPr="003E1C2E" w:rsidTr="00F06E9A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</w:pPr>
            <w:r w:rsidRPr="003E1C2E">
              <w:rPr>
                <w:rFonts w:hint="eastAsia"/>
              </w:rPr>
              <w:t>所需资料</w:t>
            </w:r>
          </w:p>
        </w:tc>
        <w:tc>
          <w:tcPr>
            <w:tcW w:w="3497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CC449F" w:rsidRPr="003E1C2E" w:rsidTr="00F06E9A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教务处审核《师范生教育实习补助签收表》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《师范生教育实习补助签收表》</w:t>
            </w:r>
          </w:p>
        </w:tc>
        <w:tc>
          <w:tcPr>
            <w:tcW w:w="3497" w:type="dxa"/>
            <w:vMerge w:val="restart"/>
            <w:shd w:val="clear" w:color="auto" w:fill="auto"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、往返票据所示时间段涵盖实习时间段，以证明该学生确实参加了教育实习。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、没有交通票据则不能发放交通补助。</w:t>
            </w:r>
          </w:p>
        </w:tc>
      </w:tr>
      <w:tr w:rsidR="00CC449F" w:rsidRPr="003E1C2E" w:rsidTr="00F06E9A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CC449F" w:rsidRPr="003E1C2E" w:rsidRDefault="00CC449F" w:rsidP="00F06E9A">
            <w:pPr>
              <w:pStyle w:val="a5"/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学生往返火车票</w:t>
            </w:r>
          </w:p>
        </w:tc>
        <w:tc>
          <w:tcPr>
            <w:tcW w:w="3497" w:type="dxa"/>
            <w:vMerge/>
            <w:shd w:val="clear" w:color="auto" w:fill="auto"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</w:p>
        </w:tc>
      </w:tr>
      <w:tr w:rsidR="00CC449F" w:rsidRPr="003E1C2E" w:rsidTr="00F06E9A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信息门户→财经综合服务平台→网上报账系统→“日常报销”模块→“实习费”子项目申报后打印网报单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</w:p>
        </w:tc>
      </w:tr>
      <w:tr w:rsidR="00CC449F" w:rsidRPr="003E1C2E" w:rsidTr="00F06E9A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497" w:type="dxa"/>
            <w:vMerge w:val="restart"/>
            <w:shd w:val="clear" w:color="auto" w:fill="auto"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CC449F" w:rsidRPr="003E1C2E" w:rsidTr="00F06E9A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CC449F" w:rsidRPr="003E1C2E" w:rsidRDefault="00CC449F" w:rsidP="00F06E9A">
            <w:pPr>
              <w:pStyle w:val="a5"/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签字、盖章审批后的网报单</w:t>
            </w:r>
          </w:p>
        </w:tc>
        <w:tc>
          <w:tcPr>
            <w:tcW w:w="3497" w:type="dxa"/>
            <w:vMerge/>
            <w:shd w:val="clear" w:color="auto" w:fill="auto"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</w:p>
        </w:tc>
      </w:tr>
      <w:tr w:rsidR="00CC449F" w:rsidRPr="003E1C2E" w:rsidTr="00F06E9A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</w:pPr>
            <w:r w:rsidRPr="003E1C2E">
              <w:rPr>
                <w:rFonts w:hint="eastAsia"/>
              </w:rPr>
              <w:t>第四步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497" w:type="dxa"/>
            <w:shd w:val="clear" w:color="auto" w:fill="auto"/>
            <w:noWrap/>
            <w:vAlign w:val="center"/>
            <w:hideMark/>
          </w:tcPr>
          <w:p w:rsidR="00CC449F" w:rsidRPr="003E1C2E" w:rsidRDefault="00CC449F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:rsidR="00852AB8" w:rsidRDefault="00852AB8" w:rsidP="004E633E">
      <w:pPr>
        <w:ind w:firstLineChars="0" w:firstLine="0"/>
      </w:pPr>
    </w:p>
    <w:p w:rsidR="0097451A" w:rsidRPr="003E1C2E" w:rsidRDefault="0097451A" w:rsidP="0097451A">
      <w:pPr>
        <w:pStyle w:val="a6"/>
        <w:spacing w:before="156"/>
        <w:rPr>
          <w:rFonts w:hint="eastAsia"/>
        </w:rPr>
      </w:pPr>
      <w:r w:rsidRPr="003E1C2E">
        <w:rPr>
          <w:rFonts w:hint="eastAsia"/>
        </w:rPr>
        <w:t>其他由院系组织的学生实习费报销流程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052"/>
        <w:gridCol w:w="1924"/>
        <w:gridCol w:w="3543"/>
      </w:tblGrid>
      <w:tr w:rsidR="0097451A" w:rsidRPr="003E1C2E" w:rsidTr="00E75E15">
        <w:trPr>
          <w:trHeight w:val="284"/>
          <w:jc w:val="center"/>
        </w:trPr>
        <w:tc>
          <w:tcPr>
            <w:tcW w:w="9149" w:type="dxa"/>
            <w:gridSpan w:val="4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</w:pPr>
          </w:p>
        </w:tc>
      </w:tr>
      <w:tr w:rsidR="0097451A" w:rsidRPr="003E1C2E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</w:pPr>
            <w:r w:rsidRPr="003E1C2E">
              <w:rPr>
                <w:rFonts w:hint="eastAsia"/>
              </w:rPr>
              <w:t>所需资料</w:t>
            </w:r>
          </w:p>
        </w:tc>
        <w:tc>
          <w:tcPr>
            <w:tcW w:w="3922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97451A" w:rsidRPr="003E1C2E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信息门户→财经综合服务平台→网上报账系统→“日常报销”模块→“实习费”子项目申报后打印网报单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机票、火车票等</w:t>
            </w:r>
          </w:p>
        </w:tc>
        <w:tc>
          <w:tcPr>
            <w:tcW w:w="3922" w:type="dxa"/>
            <w:vMerge w:val="restart"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、机票、住宿费和租车费单张发票超过</w:t>
            </w:r>
            <w:r w:rsidRPr="003E1C2E">
              <w:rPr>
                <w:rFonts w:hint="eastAsia"/>
              </w:rPr>
              <w:t>200</w:t>
            </w:r>
            <w:r w:rsidRPr="003E1C2E">
              <w:rPr>
                <w:rFonts w:hint="eastAsia"/>
              </w:rPr>
              <w:t>元的请使用公务卡或对公支付。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、执行《北京师范大学国内差旅费管理办法》，城市间交通费和住宿费在标准内报销，伙食补助和市内交通费包干发放。</w:t>
            </w:r>
            <w:r w:rsidRPr="003E1C2E">
              <w:rPr>
                <w:rFonts w:hint="eastAsia"/>
              </w:rPr>
              <w:br/>
              <w:t>3</w:t>
            </w:r>
            <w:r w:rsidRPr="003E1C2E">
              <w:rPr>
                <w:rFonts w:hint="eastAsia"/>
              </w:rPr>
              <w:t>、报销与教学、学生培养等相关有门票、参观费等，需提供人员名单。</w:t>
            </w:r>
            <w:r w:rsidRPr="003E1C2E">
              <w:rPr>
                <w:rFonts w:hint="eastAsia"/>
              </w:rPr>
              <w:br/>
              <w:t>4</w:t>
            </w:r>
            <w:r w:rsidRPr="003E1C2E">
              <w:rPr>
                <w:rFonts w:hint="eastAsia"/>
              </w:rPr>
              <w:t>、委托旅行社组织的学生实习报销时需要提供发票、合同、支出明细。</w:t>
            </w:r>
          </w:p>
        </w:tc>
      </w:tr>
      <w:tr w:rsidR="0097451A" w:rsidRPr="003E1C2E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住宿费发票及明细</w:t>
            </w: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</w:p>
        </w:tc>
      </w:tr>
      <w:tr w:rsidR="0097451A" w:rsidRPr="003E1C2E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门票、参观费发票及人员名单</w:t>
            </w: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</w:p>
        </w:tc>
      </w:tr>
      <w:tr w:rsidR="0097451A" w:rsidRPr="003E1C2E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合同（委托旅行社组织的学生实习）</w:t>
            </w: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</w:p>
        </w:tc>
      </w:tr>
      <w:tr w:rsidR="0097451A" w:rsidRPr="003E1C2E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支付记录（对公支付无需提供）</w:t>
            </w: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</w:p>
        </w:tc>
      </w:tr>
      <w:tr w:rsidR="0097451A" w:rsidRPr="003E1C2E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第一步的资料</w:t>
            </w:r>
          </w:p>
        </w:tc>
        <w:tc>
          <w:tcPr>
            <w:tcW w:w="3922" w:type="dxa"/>
            <w:vMerge w:val="restart"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97451A" w:rsidRPr="003E1C2E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签字、盖章审批后的网报单</w:t>
            </w: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</w:p>
        </w:tc>
      </w:tr>
      <w:tr w:rsidR="0097451A" w:rsidRPr="003E1C2E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3922" w:type="dxa"/>
            <w:shd w:val="clear" w:color="auto" w:fill="auto"/>
            <w:noWrap/>
            <w:vAlign w:val="center"/>
            <w:hideMark/>
          </w:tcPr>
          <w:p w:rsidR="0097451A" w:rsidRPr="003E1C2E" w:rsidRDefault="0097451A" w:rsidP="00E75E15">
            <w:pPr>
              <w:pStyle w:val="a5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:rsidR="0097451A" w:rsidRPr="003E1C2E" w:rsidRDefault="0097451A" w:rsidP="0097451A">
      <w:pPr>
        <w:pStyle w:val="a7"/>
        <w:ind w:firstLine="420"/>
      </w:pPr>
      <w:r w:rsidRPr="003E1C2E">
        <w:rPr>
          <w:rFonts w:hint="eastAsia"/>
        </w:rPr>
        <w:t>其他未尽事宜请参照北京师范大学《学生实习费报销须知》、《国内差旅费管理办法》</w:t>
      </w:r>
    </w:p>
    <w:p w:rsidR="0097451A" w:rsidRPr="003E1C2E" w:rsidRDefault="0097451A" w:rsidP="0097451A">
      <w:pPr>
        <w:ind w:firstLine="480"/>
      </w:pPr>
    </w:p>
    <w:p w:rsidR="0097451A" w:rsidRPr="0097451A" w:rsidRDefault="0097451A">
      <w:pPr>
        <w:ind w:firstLine="480"/>
      </w:pPr>
    </w:p>
    <w:sectPr w:rsidR="0097451A" w:rsidRPr="00974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FF" w:rsidRDefault="00E911FF" w:rsidP="00CC449F">
      <w:pPr>
        <w:spacing w:line="240" w:lineRule="auto"/>
        <w:ind w:firstLine="480"/>
      </w:pPr>
      <w:r>
        <w:separator/>
      </w:r>
    </w:p>
  </w:endnote>
  <w:endnote w:type="continuationSeparator" w:id="0">
    <w:p w:rsidR="00E911FF" w:rsidRDefault="00E911FF" w:rsidP="00CC449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FF" w:rsidRDefault="00E911FF" w:rsidP="00CC449F">
      <w:pPr>
        <w:spacing w:line="240" w:lineRule="auto"/>
        <w:ind w:firstLine="480"/>
      </w:pPr>
      <w:r>
        <w:separator/>
      </w:r>
    </w:p>
  </w:footnote>
  <w:footnote w:type="continuationSeparator" w:id="0">
    <w:p w:rsidR="00E911FF" w:rsidRDefault="00E911FF" w:rsidP="00CC449F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8C"/>
    <w:rsid w:val="004E633E"/>
    <w:rsid w:val="00852AB8"/>
    <w:rsid w:val="008F46F1"/>
    <w:rsid w:val="0097451A"/>
    <w:rsid w:val="00A7118C"/>
    <w:rsid w:val="00A7184A"/>
    <w:rsid w:val="00CC449F"/>
    <w:rsid w:val="00E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9F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8F46F1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49F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49F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49F"/>
    <w:rPr>
      <w:sz w:val="18"/>
      <w:szCs w:val="18"/>
    </w:rPr>
  </w:style>
  <w:style w:type="paragraph" w:customStyle="1" w:styleId="a5">
    <w:name w:val="表格"/>
    <w:qFormat/>
    <w:rsid w:val="00CC449F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CC449F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7">
    <w:name w:val="表注"/>
    <w:qFormat/>
    <w:rsid w:val="0097451A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20">
    <w:name w:val="标题 2 字符"/>
    <w:basedOn w:val="a0"/>
    <w:uiPriority w:val="9"/>
    <w:semiHidden/>
    <w:rsid w:val="008F46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8F46F1"/>
    <w:rPr>
      <w:rFonts w:ascii="Times New Roman bold" w:eastAsia="黑体" w:hAnsi="Times New Roman bold" w:cs="Times New Roman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9F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8F46F1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49F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49F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49F"/>
    <w:rPr>
      <w:sz w:val="18"/>
      <w:szCs w:val="18"/>
    </w:rPr>
  </w:style>
  <w:style w:type="paragraph" w:customStyle="1" w:styleId="a5">
    <w:name w:val="表格"/>
    <w:qFormat/>
    <w:rsid w:val="00CC449F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CC449F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7">
    <w:name w:val="表注"/>
    <w:qFormat/>
    <w:rsid w:val="0097451A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20">
    <w:name w:val="标题 2 字符"/>
    <w:basedOn w:val="a0"/>
    <w:uiPriority w:val="9"/>
    <w:semiHidden/>
    <w:rsid w:val="008F46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8F46F1"/>
    <w:rPr>
      <w:rFonts w:ascii="Times New Roman bold" w:eastAsia="黑体" w:hAnsi="Times New Roman bold" w:cs="Times New Roman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李婧</dc:creator>
  <cp:keywords/>
  <dc:description/>
  <cp:lastModifiedBy>李婧</cp:lastModifiedBy>
  <cp:revision>5</cp:revision>
  <dcterms:created xsi:type="dcterms:W3CDTF">2018-11-30T11:34:00Z</dcterms:created>
  <dcterms:modified xsi:type="dcterms:W3CDTF">2018-12-14T01:54:00Z</dcterms:modified>
</cp:coreProperties>
</file>